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82" w:rsidRDefault="00FC3930" w:rsidP="00FC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и делам молодежи Администрации Михайловского района</w:t>
      </w:r>
    </w:p>
    <w:p w:rsidR="00FC3930" w:rsidRDefault="00FC3930" w:rsidP="00FC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«Михайловский лицей»</w:t>
      </w:r>
    </w:p>
    <w:p w:rsidR="00FC3930" w:rsidRDefault="00FC3930" w:rsidP="00FC3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района Алтайского края</w:t>
      </w:r>
    </w:p>
    <w:p w:rsidR="00FC3930" w:rsidRDefault="00FC3930" w:rsidP="00FC3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930" w:rsidRDefault="00FC3930" w:rsidP="00FC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УТВЕРЖДЕНО</w:t>
      </w:r>
    </w:p>
    <w:p w:rsidR="00FC3930" w:rsidRDefault="00FC3930" w:rsidP="00FC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совета.                                       Приказом директора</w:t>
      </w:r>
    </w:p>
    <w:p w:rsidR="00FC3930" w:rsidRDefault="00FC3930" w:rsidP="00FC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«17» апреля 2019 г. №2                                     МБОУ «Михайловский лицей» от «17» апреля 2019 г. №66</w:t>
      </w:r>
    </w:p>
    <w:p w:rsidR="00FC3930" w:rsidRDefault="00FC3930" w:rsidP="00FC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учебного предмета</w:t>
      </w:r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2019 - 2020 ученый год</w:t>
      </w:r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 часов  5 класс</w:t>
      </w:r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авторской программы Лях В.И.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«Примерные программы по учебным предметам» 5 – 9 классы 2012 г., учебник «Физическая культура»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И.М.Туревский</w:t>
      </w:r>
      <w:proofErr w:type="spellEnd"/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(5-6-7кл) «Просвещение» 2015г.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D82" w:rsidRDefault="00FC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 Гончаров Вячеслав Сергеевич,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F44D82" w:rsidRDefault="00F44D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4D82" w:rsidRDefault="00FC393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Михайловский район, 2019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D82" w:rsidRDefault="00F44D82">
      <w:pPr>
        <w:ind w:left="-567"/>
      </w:pPr>
    </w:p>
    <w:p w:rsidR="00F44D82" w:rsidRDefault="00F44D82">
      <w:pPr>
        <w:ind w:left="-567"/>
      </w:pP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 5 класс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для 5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требованиями  государственного образовательного стандарта утвержденного Федеральным законом «О физической культуре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спорте» от 4 декабря 2007 года №329-Ф3.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 на основе авторской программы « Предметная линия учебников  «Физическая культура» 5-9 классов М.Я.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Ляха (М. Просвещение, 2014). 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кондиционных способностей;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первой помощи при травмах;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Выработку организаторских навыков проведения занятий  в качестве командира отделения, капитана команды,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важно учитывать возрастные особенности личности подростка.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норм.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предмета «Физическая культура» представляет распределение учебных часов в соответствии с содержанием предметной области «Физическая культура» ФГОС основного общего образования. Преподавание рассчитано на изучение учебного предмета «Физическая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культура» в 5 классе в объёме 102 часов (3 часа в неделю) + резерв 3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ки», «Легкая атлетика», «Спортивные игры баскетбол, волейбол, футбол», «Лыжная подготовка».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систем физического воспитания.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«Основы знаний о физической культуре» изучается в процессе уроков.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 «Физическая культура» в 5 классе.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содержания программы учебного предмета достигаются.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ностные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Должны отражать: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-воспитание российской гражданской идентичности;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отношения к учению готовности и способности,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 – практической деятельности. Должны отражать: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-умение самостоятельно определять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обучения, ставить и формулировать для себя новые задачи в учёбе и познавательной деятельности;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планировать пути достижения целей;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оценивать правильность выполнения своих действий;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отражать: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и значения физической культуры в формировании личностных качеств, 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ктивном включении в ЗОЖ.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системой знаний о физическом совершенствовании человека.</w:t>
      </w:r>
    </w:p>
    <w:p w:rsidR="00F44D82" w:rsidRDefault="00FC3930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</w:r>
    </w:p>
    <w:p w:rsidR="00F44D82" w:rsidRDefault="00FC3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выполнять комплексы общеразвивающих, оздоровительных и корригирующих упражнений.</w:t>
      </w:r>
    </w:p>
    <w:p w:rsidR="00F44D82" w:rsidRDefault="00F44D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C39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Содержание учебного предмета «Физическая культура»</w:t>
      </w:r>
    </w:p>
    <w:p w:rsidR="00F44D82" w:rsidRDefault="00FC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История физической культуры. Олимпийские игры древности.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Возрождение Олимпийских игр и олимпийского движения.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История зарождения олимпийского движения в России. Олимпийское движение в России (СССР). Выдающиеся 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отечественных спортсменов на Олимпийских играх.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Физическая подготовка и ее связь с укреплением здоровья, развитием физических качеств.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планирование самостоятельных занятий по развитию физических качеств.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Техническая подготовка. Техника движений и ее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показатели.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Всестороннее и гармоничное физическое развитие.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дня, его основное содержание и правила планирования.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Закаливание организма. Правила безопасности и гигиенические требования.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Влияние занятий физичес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культурой на формирование положительных качеств личности.</w:t>
      </w:r>
    </w:p>
    <w:p w:rsidR="00F44D82" w:rsidRDefault="00FC39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упражнений и составление индивидуальных комплексов для утренней зарядки, физкультминуток, подвижных перемен.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эффективности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Самонаблюдение и самокон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Оценка эффективности занятий физкультурно-оздоровительной деятельностью.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Оздоровительные формы занятий в режиме учебного дня и учебной недели.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комплексы ада</w:t>
      </w:r>
      <w:r>
        <w:rPr>
          <w:rFonts w:ascii="Times New Roman" w:hAnsi="Times New Roman" w:cs="Times New Roman"/>
          <w:color w:val="000000"/>
          <w:sz w:val="24"/>
          <w:szCs w:val="24"/>
        </w:rPr>
        <w:t>птивной (лечебной) и корригирующей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Гимнастика с основами акробатики. Организующие команды и приемы.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Акробатические упражнения и комбинации.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Опорные прыжки.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и комбинации на гимнастическом бревне (девочки).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и комбинации на гимнастической перекладине (мальчики).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Прыжковые упражнения.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Метание малого мяча.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Спортивные игры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Баскетбол. Игра по правилам.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Волейбол. Игра по правилам.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-ориентированные упражнения.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общеразвивающей направленности.</w:t>
      </w:r>
    </w:p>
    <w:p w:rsidR="00F44D82" w:rsidRDefault="00FC393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Общефизическая подготовка.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 с основами акробатики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D82" w:rsidRDefault="00FC39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гибкос</w:t>
      </w:r>
      <w:r>
        <w:rPr>
          <w:rFonts w:ascii="Times New Roman" w:hAnsi="Times New Roman" w:cs="Times New Roman"/>
          <w:color w:val="000000"/>
          <w:sz w:val="24"/>
          <w:szCs w:val="24"/>
        </w:rPr>
        <w:t>ти, координация движений, силы, выносливости.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выносливости, силы, быстроты, координации движений.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Symbol" w:hAnsi="Symbol" w:cs="Times New Roman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Развитие быстроты, силы, выносливости, координации движений</w:t>
      </w:r>
    </w:p>
    <w:p w:rsidR="00F44D82" w:rsidRDefault="00F44D82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«Физическая культура» в 5 классе</w:t>
      </w:r>
    </w:p>
    <w:tbl>
      <w:tblPr>
        <w:tblW w:w="0" w:type="auto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64"/>
        <w:gridCol w:w="1308"/>
        <w:gridCol w:w="5387"/>
        <w:gridCol w:w="1668"/>
      </w:tblGrid>
      <w:tr w:rsidR="00F44D82"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времени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Раздел/Главы программы/ Тема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времени</w:t>
            </w:r>
          </w:p>
        </w:tc>
      </w:tr>
      <w:tr w:rsidR="00F44D82"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часть75 часов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Баскетбол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70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Вариативная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27 часов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- Волейбол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- Футбол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4D82">
        <w:tc>
          <w:tcPr>
            <w:tcW w:w="8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D82" w:rsidRDefault="00FC3930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учебного времени прохождения программного материала по физической культуре в 5 классе</w:t>
      </w:r>
    </w:p>
    <w:p w:rsidR="00F44D82" w:rsidRDefault="00F44D82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97"/>
        <w:gridCol w:w="2692"/>
        <w:gridCol w:w="1595"/>
        <w:gridCol w:w="1593"/>
        <w:gridCol w:w="1594"/>
        <w:gridCol w:w="1599"/>
      </w:tblGrid>
      <w:tr w:rsidR="00F44D82"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</w:tr>
      <w:tr w:rsidR="00F44D82"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26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/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D82">
        <w:trPr>
          <w:trHeight w:val="419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Лёгкая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атлетика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4D82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D82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4D82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82">
        <w:trPr>
          <w:trHeight w:val="421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82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4D82"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82">
        <w:tc>
          <w:tcPr>
            <w:tcW w:w="3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F44D82" w:rsidRDefault="00F4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5 класс</w:t>
      </w:r>
    </w:p>
    <w:p w:rsidR="00F44D82" w:rsidRDefault="00FC3930">
      <w:pPr>
        <w:tabs>
          <w:tab w:val="left" w:pos="31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pict>
          <v:rect id="_x0000_s1026" style="position:absolute;margin-left:-5.65pt;margin-top:30.75pt;width:728pt;height:231.4pt;z-index:251657728;mso-wrap-distance-left:9pt;mso-wrap-distance-top:0;mso-wrap-distance-right:9pt;mso-wrap-distance-bottom:0;mso-position-horizontal-relative:text;mso-position-vertical-relative:text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8"/>
                    <w:gridCol w:w="1984"/>
                    <w:gridCol w:w="1970"/>
                    <w:gridCol w:w="2023"/>
                    <w:gridCol w:w="1983"/>
                    <w:gridCol w:w="1976"/>
                    <w:gridCol w:w="2586"/>
                  </w:tblGrid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Оценки</w:t>
                        </w:r>
                      </w:p>
                    </w:tc>
                    <w:tc>
                      <w:tcPr>
                        <w:tcW w:w="597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Девочки</w:t>
                        </w:r>
                      </w:p>
                    </w:tc>
                    <w:tc>
                      <w:tcPr>
                        <w:tcW w:w="6545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Мальчики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Упражнения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Отлично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Удовлетво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рительно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Отлично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Удовлетворительно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60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10,4 и меньше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10,5-11,6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11,7 и больше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10,1и меньше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10,1-11,1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11,2 и больше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300м,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1,07и меньше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1,08-1,21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1,22 и больше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1,00 и меньше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1,01-1,17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1,18 и больше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1000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,м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ин,сек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5,20 и меньше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5,21-7,20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7,21 и больше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4,45 и меньше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4,46-6,45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6,46 и больше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Бег 1500м,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9,00 и меньше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9,01-10,29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10,30 и больше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8,50 и меньше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8,51-9,59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10,00 и больше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Прыжок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длину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 и больше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299-221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220 и меньше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340 и больше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339-261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260 и меньше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Прыжок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высоту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 и больше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100-85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 и меньше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110 и больше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100-90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85 и меньше</w:t>
                        </w:r>
                      </w:p>
                    </w:tc>
                  </w:tr>
                  <w:tr w:rsidR="00F44D82">
                    <w:tc>
                      <w:tcPr>
                        <w:tcW w:w="203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Метание мяча (150 гр.)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 и больше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20-15</w:t>
                        </w:r>
                      </w:p>
                    </w:tc>
                    <w:tc>
                      <w:tcPr>
                        <w:tcW w:w="202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 и меньше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и больше</w:t>
                        </w:r>
                      </w:p>
                    </w:tc>
                    <w:tc>
                      <w:tcPr>
                        <w:tcW w:w="197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33-21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F44D82" w:rsidRDefault="00FC3930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и меньше</w:t>
                        </w:r>
                      </w:p>
                    </w:tc>
                  </w:tr>
                </w:tbl>
                <w:p w:rsidR="00000000" w:rsidRDefault="00FC3930"/>
              </w:txbxContent>
            </v:textbox>
            <w10:wrap type="square"/>
          </v:rect>
        </w:pict>
      </w:r>
    </w:p>
    <w:p w:rsidR="00F44D82" w:rsidRDefault="00F44D82">
      <w:pPr>
        <w:tabs>
          <w:tab w:val="left" w:pos="31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tabs>
          <w:tab w:val="left" w:pos="31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44D82">
      <w:pPr>
        <w:tabs>
          <w:tab w:val="left" w:pos="310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тесты 5 класс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16"/>
        <w:gridCol w:w="1575"/>
        <w:gridCol w:w="2020"/>
        <w:gridCol w:w="2046"/>
        <w:gridCol w:w="2023"/>
        <w:gridCol w:w="2019"/>
        <w:gridCol w:w="2587"/>
      </w:tblGrid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5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6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5,4и меньше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505-6,2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6,3и больше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5,3и меньше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5,4-6,1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6,2и больше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3х10м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8,6и меньше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8,7-9,0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9,1и меньше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8,2и меньше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8,3-8,5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8,6и больше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Прыжок в длину с места,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164и больше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124и меньше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179и больше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178-135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134и меньше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количество раз в 1 мин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110и больше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109-91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90и меньше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90и больше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89-71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70и меньше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(девочки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лёжа), количество раз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14и больше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13-6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5и меньше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 больше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 меньше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туловища, количество раз за 30 сек.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16и больше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9и меньше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22и больше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11и меньше</w:t>
            </w:r>
          </w:p>
        </w:tc>
      </w:tr>
      <w:tr w:rsidR="00F44D82"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кисти,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18и больше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12и меньше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24и больше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16и меньше</w:t>
            </w:r>
          </w:p>
        </w:tc>
      </w:tr>
    </w:tbl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D82" w:rsidRDefault="00F44D82">
      <w:pPr>
        <w:spacing w:after="4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D82" w:rsidRDefault="00F44D82">
      <w:pPr>
        <w:spacing w:after="4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D82" w:rsidRDefault="00F44D82">
      <w:pPr>
        <w:spacing w:after="4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D82" w:rsidRDefault="00FC3930">
      <w:pPr>
        <w:spacing w:after="4" w:line="240" w:lineRule="auto"/>
        <w:ind w:left="10" w:right="-1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Критерии оценивания подготовленности учащихся по физической культуре. </w:t>
      </w:r>
    </w:p>
    <w:p w:rsidR="00F44D82" w:rsidRDefault="00F44D82">
      <w:pPr>
        <w:spacing w:after="45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C3930">
      <w:pPr>
        <w:spacing w:after="56" w:line="235" w:lineRule="auto"/>
        <w:ind w:left="115" w:right="-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Критерии оценивания по физической культуре являются качественными и количественными. </w:t>
      </w:r>
    </w:p>
    <w:p w:rsidR="00F44D82" w:rsidRDefault="00FC3930">
      <w:pPr>
        <w:spacing w:after="6" w:line="230" w:lineRule="auto"/>
        <w:ind w:left="115" w:right="-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t>Качественные критерии успеваемости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 </w:t>
      </w:r>
    </w:p>
    <w:p w:rsidR="00F44D82" w:rsidRDefault="00FC3930">
      <w:pPr>
        <w:spacing w:after="6" w:line="230" w:lineRule="auto"/>
        <w:ind w:left="115" w:right="-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личественные критерии успеваемости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ность и уровни реализуемых образовательных программ. </w:t>
      </w:r>
    </w:p>
    <w:p w:rsidR="00F44D82" w:rsidRDefault="00FC3930">
      <w:pPr>
        <w:spacing w:after="46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F44D82" w:rsidRDefault="00FC3930">
      <w:pPr>
        <w:spacing w:after="56" w:line="235" w:lineRule="auto"/>
        <w:ind w:left="115" w:right="14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успеваемости по физической культуре в 5 классах производится на общих основаниях. Уровень соответствующих знаний, степень владения двигательными умениями и навыками, умение осуществлять физкуль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товарищей. Оценка должна стимулировать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F44D82" w:rsidRDefault="00FC3930">
      <w:pPr>
        <w:spacing w:after="56" w:line="235" w:lineRule="auto"/>
        <w:ind w:left="115" w:right="1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 должен обеспечить каждому ученику одинаковый доступ к основам физической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F44D82" w:rsidRDefault="00F44D82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C3930">
      <w:pPr>
        <w:spacing w:after="6" w:line="230" w:lineRule="auto"/>
        <w:ind w:left="115" w:right="-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Итоговая отметка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выстав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ляется учащимся за овладение темы, раздела, за четверть,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физических способностей, умений 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- оздоровительную деятельность. </w:t>
      </w:r>
    </w:p>
    <w:p w:rsidR="00F44D82" w:rsidRDefault="00FC3930">
      <w:pPr>
        <w:spacing w:after="56" w:line="235" w:lineRule="auto"/>
        <w:ind w:left="115" w:right="-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Критерии оценивания успеваемости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базовым составляющим физической подготовки учащихся: </w:t>
      </w:r>
    </w:p>
    <w:p w:rsidR="00F44D82" w:rsidRDefault="00FC3930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lang w:eastAsia="ru-RU"/>
        </w:rPr>
        <w:t xml:space="preserve">Знания </w:t>
      </w: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C3930">
      <w:pPr>
        <w:spacing w:after="6" w:line="230" w:lineRule="auto"/>
        <w:ind w:left="115" w:right="8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С целью проверки знаний используются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следующие методы: опрос, проверочные беседы (без вызова из строя), тестирование. </w:t>
      </w:r>
    </w:p>
    <w:p w:rsidR="00F44D82" w:rsidRDefault="00F44D82">
      <w:pPr>
        <w:spacing w:after="6" w:line="230" w:lineRule="auto"/>
        <w:ind w:left="115" w:right="80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1" w:type="dxa"/>
          <w:right w:w="115" w:type="dxa"/>
        </w:tblCellMar>
        <w:tblLook w:val="0000" w:firstRow="0" w:lastRow="0" w:firstColumn="0" w:lastColumn="0" w:noHBand="0" w:noVBand="0"/>
      </w:tblPr>
      <w:tblGrid>
        <w:gridCol w:w="3372"/>
        <w:gridCol w:w="3970"/>
        <w:gridCol w:w="3685"/>
        <w:gridCol w:w="3548"/>
      </w:tblGrid>
      <w:tr w:rsidR="00F44D82">
        <w:trPr>
          <w:trHeight w:val="286"/>
        </w:trPr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Оценка «5»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Оценка «4»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 Оценка «3» 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 Оценка «2» </w:t>
            </w:r>
          </w:p>
        </w:tc>
      </w:tr>
      <w:tr w:rsidR="00F44D82">
        <w:trPr>
          <w:trHeight w:val="286"/>
        </w:trPr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За ответ, в котором: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За тот же ответ, если: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За ответ, в котором: 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За непонимание и: </w:t>
            </w:r>
          </w:p>
        </w:tc>
      </w:tr>
      <w:tr w:rsidR="00F44D82">
        <w:trPr>
          <w:trHeight w:val="1392"/>
        </w:trPr>
        <w:tc>
          <w:tcPr>
            <w:tcW w:w="3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Учащийся демонстрирует глубокое понимание сущности материала; логично его излагает, используя в деятельности.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В нём содержаться небольшие неточности и незначительные ошибки.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Отсутствует логическая посл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едовательность, имеются пробелы в знании материала, нет должной аргументации и умения использовать знания на практике. 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1" w:type="dxa"/>
            </w:tcMar>
          </w:tcPr>
          <w:p w:rsidR="00F44D82" w:rsidRDefault="00FC3930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Незнание материала программы. </w:t>
            </w:r>
          </w:p>
        </w:tc>
      </w:tr>
    </w:tbl>
    <w:p w:rsidR="00F44D82" w:rsidRDefault="00F44D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C3930">
      <w:pPr>
        <w:spacing w:after="50" w:line="23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Техника владения двигательными умениями и навыками </w:t>
      </w:r>
    </w:p>
    <w:p w:rsidR="00F44D82" w:rsidRDefault="00FC3930">
      <w:pPr>
        <w:spacing w:after="56" w:line="235" w:lineRule="auto"/>
        <w:ind w:left="115" w:right="-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 </w:t>
      </w:r>
    </w:p>
    <w:p w:rsidR="00F44D82" w:rsidRDefault="00F44D82">
      <w:pPr>
        <w:spacing w:after="56" w:line="235" w:lineRule="auto"/>
        <w:ind w:left="115" w:right="-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15" w:type="dxa"/>
        </w:tblCellMar>
        <w:tblLook w:val="0000" w:firstRow="0" w:lastRow="0" w:firstColumn="0" w:lastColumn="0" w:noHBand="0" w:noVBand="0"/>
      </w:tblPr>
      <w:tblGrid>
        <w:gridCol w:w="6054"/>
        <w:gridCol w:w="2551"/>
        <w:gridCol w:w="3686"/>
        <w:gridCol w:w="2284"/>
      </w:tblGrid>
      <w:tr w:rsidR="00F44D82">
        <w:trPr>
          <w:trHeight w:val="287"/>
        </w:trPr>
        <w:tc>
          <w:tcPr>
            <w:tcW w:w="6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lastRenderedPageBreak/>
              <w:t xml:space="preserve">         Оценка «5»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Оценка «4»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 Оценка «3» 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Оценка «2» </w:t>
            </w:r>
          </w:p>
        </w:tc>
      </w:tr>
      <w:tr w:rsidR="00F44D82">
        <w:trPr>
          <w:trHeight w:val="288"/>
        </w:trPr>
        <w:tc>
          <w:tcPr>
            <w:tcW w:w="6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За выполнение, в котором: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За тоже выполнение, если: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За выполнение, в котором: 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За выполнение, в котором: </w:t>
            </w:r>
          </w:p>
        </w:tc>
      </w:tr>
      <w:tr w:rsidR="00F44D82">
        <w:trPr>
          <w:trHeight w:val="701"/>
        </w:trPr>
        <w:tc>
          <w:tcPr>
            <w:tcW w:w="6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свободно, чётко, уверенно, слитно, с отличной осанкой, в надлежащем ритме. Ученик понимает сущность движения, его назначение, может разобраться в дви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При выполнении ученик действует так же, как и в предыдущем случае, 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но допустил не более двух незначительных ошибок. 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28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ных и сложных в сравнении с уроком условиях. </w:t>
            </w:r>
          </w:p>
          <w:p w:rsidR="00F44D82" w:rsidRDefault="00F44D82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ошибка. </w:t>
            </w:r>
          </w:p>
        </w:tc>
      </w:tr>
    </w:tbl>
    <w:p w:rsidR="00F44D82" w:rsidRDefault="00F44D82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C3930">
      <w:pPr>
        <w:spacing w:after="50" w:line="23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Владение способами и умение осуществлять физкультурно-оздоровительную деятельность </w:t>
      </w:r>
    </w:p>
    <w:p w:rsidR="00F44D82" w:rsidRDefault="00F44D82">
      <w:pPr>
        <w:spacing w:after="13" w:line="276" w:lineRule="auto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69" w:type="dxa"/>
        </w:tblCellMar>
        <w:tblLook w:val="0000" w:firstRow="0" w:lastRow="0" w:firstColumn="0" w:lastColumn="0" w:noHBand="0" w:noVBand="0"/>
      </w:tblPr>
      <w:tblGrid>
        <w:gridCol w:w="4069"/>
        <w:gridCol w:w="4536"/>
        <w:gridCol w:w="3686"/>
        <w:gridCol w:w="2284"/>
      </w:tblGrid>
      <w:tr w:rsidR="00F44D82">
        <w:trPr>
          <w:trHeight w:val="286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Оценка «5»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Оценка «4»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   Оценка «3» 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       Оценка «2» </w:t>
            </w:r>
          </w:p>
        </w:tc>
      </w:tr>
      <w:tr w:rsidR="00F44D82">
        <w:trPr>
          <w:trHeight w:val="2494"/>
        </w:trPr>
        <w:tc>
 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ind w:right="207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Учащийся умеет: </w:t>
            </w:r>
          </w:p>
          <w:p w:rsidR="00F44D82" w:rsidRDefault="00FC3930">
            <w:pPr>
              <w:spacing w:line="276" w:lineRule="auto"/>
              <w:ind w:right="207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- самостоятельно организовать место занятий; </w:t>
            </w:r>
          </w:p>
          <w:p w:rsidR="00F44D82" w:rsidRDefault="00FC3930">
            <w:pPr>
              <w:spacing w:line="276" w:lineRule="auto"/>
              <w:ind w:right="207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-подбирать средства и инвентарь и применять их в конкретных условиях; </w:t>
            </w:r>
          </w:p>
          <w:p w:rsidR="00F44D82" w:rsidRDefault="00FC3930">
            <w:pPr>
              <w:spacing w:line="276" w:lineRule="auto"/>
              <w:ind w:right="207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- контролировать ход выполнения деятельности и оценивать итоги.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after="43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Учащийся: </w:t>
            </w:r>
          </w:p>
          <w:p w:rsidR="00F44D82" w:rsidRDefault="00FC3930">
            <w:pPr>
              <w:spacing w:after="44" w:line="228" w:lineRule="auto"/>
              <w:ind w:right="-6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-организует место занятий в основном самостоятельно, лишь с незначительной помощью; </w:t>
            </w:r>
          </w:p>
          <w:p w:rsidR="00F44D82" w:rsidRDefault="00FC3930">
            <w:pPr>
              <w:spacing w:after="45" w:line="235" w:lineRule="auto"/>
              <w:ind w:right="-6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-допускает незначительные ошибки </w:t>
            </w:r>
          </w:p>
          <w:p w:rsidR="00F44D82" w:rsidRDefault="00FC3930">
            <w:pPr>
              <w:spacing w:after="4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в подборе средств; </w:t>
            </w:r>
          </w:p>
          <w:p w:rsidR="00F44D82" w:rsidRDefault="00FC3930">
            <w:pPr>
              <w:spacing w:after="56" w:line="276" w:lineRule="auto"/>
              <w:ind w:right="-6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-контролирует ход выполнения деятельности и оценивает итоги.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Более половины видов самостоятельной деятельности выполнены с помощью учителя или не выполняется один из пунктов. </w:t>
            </w:r>
          </w:p>
        </w:tc>
        <w:tc>
          <w:tcPr>
            <w:tcW w:w="2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Учащийся не может выполнить самостоятельно ни один из пунктов. </w:t>
            </w:r>
          </w:p>
        </w:tc>
      </w:tr>
    </w:tbl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44D82" w:rsidRDefault="00FC3930">
      <w:pPr>
        <w:spacing w:after="4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Уровень физической подготовленности учащихся</w:t>
      </w:r>
    </w:p>
    <w:p w:rsidR="00F44D82" w:rsidRDefault="00F44D82">
      <w:pPr>
        <w:spacing w:after="4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44D82">
      <w:pPr>
        <w:spacing w:after="4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78" w:type="dxa"/>
        </w:tblCellMar>
        <w:tblLook w:val="0000" w:firstRow="0" w:lastRow="0" w:firstColumn="0" w:lastColumn="0" w:noHBand="0" w:noVBand="0"/>
      </w:tblPr>
      <w:tblGrid>
        <w:gridCol w:w="7329"/>
        <w:gridCol w:w="2692"/>
        <w:gridCol w:w="2410"/>
        <w:gridCol w:w="2144"/>
      </w:tblGrid>
      <w:tr w:rsidR="00F44D82">
        <w:trPr>
          <w:trHeight w:val="286"/>
        </w:trPr>
        <w:tc>
          <w:tcPr>
            <w:tcW w:w="7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Оценка «5»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Оценка «4»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Оценка «3»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Оценка «2»</w:t>
            </w:r>
          </w:p>
        </w:tc>
      </w:tr>
      <w:tr w:rsidR="00F44D82">
        <w:trPr>
          <w:trHeight w:val="3109"/>
        </w:trPr>
        <w:tc>
          <w:tcPr>
            <w:tcW w:w="7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обучения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по предмету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  и высокому приросту ученика в показателях физической подготовленности за определённый период времени.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Исходный показатель соответствует среднему уровню подготовленности и достаточному темпу прироста.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ind w:right="12"/>
              <w:jc w:val="both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Исходный показатель соответствует низком</w:t>
            </w: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у уровню подготовленности и незначительному  приросту. 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44D82" w:rsidRDefault="00FC3930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Учащийся не выполняет государственный стандарт, нет темпа роста показателей физической подготовленности. </w:t>
            </w:r>
          </w:p>
        </w:tc>
      </w:tr>
    </w:tbl>
    <w:p w:rsidR="00F44D82" w:rsidRDefault="00F44D82">
      <w:pPr>
        <w:spacing w:after="46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C3930">
      <w:pPr>
        <w:spacing w:after="6" w:line="230" w:lineRule="auto"/>
        <w:ind w:left="115" w:right="-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ть реально выполнимыми. Достижение этих сдвигов при условии систематических занятий даёт основание учителю для выставления высокой оценки. </w:t>
      </w:r>
    </w:p>
    <w:p w:rsidR="00F44D82" w:rsidRDefault="00FC3930">
      <w:pPr>
        <w:spacing w:after="6" w:line="230" w:lineRule="auto"/>
        <w:ind w:left="115" w:right="2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 xml:space="preserve">Общая оценка успеваемости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складывается по видам программы: по гимнастике, баскетболу, волейболу, лёгкой атлетике, лыжной подготовке и футболу – путём сложения конечных оценок, полученных учеником по всем видам движений, и оценок за выполнение контрольных упражнений.  </w:t>
      </w:r>
    </w:p>
    <w:p w:rsidR="00F44D82" w:rsidRDefault="00FC3930">
      <w:pPr>
        <w:spacing w:after="6" w:line="230" w:lineRule="auto"/>
        <w:ind w:left="115" w:right="2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Оценка успева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ru-RU"/>
        </w:rPr>
        <w:t>емости за учебный год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ятельность. </w:t>
      </w:r>
    </w:p>
    <w:p w:rsidR="00F44D82" w:rsidRDefault="00F44D82">
      <w:pPr>
        <w:spacing w:after="6" w:line="230" w:lineRule="auto"/>
        <w:ind w:left="115" w:right="2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 – образовательный ресурс: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– правовое обеспечение образовательного процесса;  Закон Российской Федерации «Об образовании»; 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 физической культуре и спорте»; Концепции духовно-нравственного развития и воспитания личности гражданина; 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 до 2020 г; 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 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от 17.12.2010 № 1897 «Об утверждении и введении в действие ФГОСООО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комплекс: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 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Предметная линия учебников «Физическая культура»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2014)</w:t>
      </w:r>
    </w:p>
    <w:p w:rsidR="00F44D82" w:rsidRDefault="00FC3930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Физическая культура: Учебник для учащихся 5-7 классов, автор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Москва: Просвещение, 2015.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3.Физическая культура: Тестовый контроль 5-9 классы (М. Просвещение 2014)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Физическая культура: Методические рекомендации 5-6-7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лассы (М. Просвещение 2014)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Ж.К. Холодов, В.С. Кузнецов «Теория и методика физического воспитания и спорта» М 2001г.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«Волейбол в школе» пособие для учителей Железняк Ю.Д,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1989г.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«Уроки волейбол»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Оинума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«Физкультура и спорт»1985 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правила соревнований по волейболу Барнаул 2007 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соревнований по лыжным гонкам.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ГТУ Барнаул 2009г.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метания В. Ломан «Физкультура и спорт» 1974 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обучения в современной школе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 2007 г.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баскетбол Е.Д. Кузнецова Барнаул 2008г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техническое обеспечение образовательного процесса:</w:t>
      </w:r>
    </w:p>
    <w:p w:rsidR="00F44D82" w:rsidRDefault="00FC39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кабинета: гимнастическая шведская стенка, гимнастические скамейки, канат для лазанья, сетка волейбольная, баскетб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 щиты, скакалки, обручи, мячи баскетбольные, волейбольные, гимнастические, футбольные, гандбольные, для метания.</w:t>
      </w:r>
      <w:proofErr w:type="gramEnd"/>
    </w:p>
    <w:p w:rsidR="00F44D82" w:rsidRDefault="00F44D8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82" w:rsidRDefault="00FC393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5 класс</w:t>
      </w: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7"/>
        <w:gridCol w:w="9964"/>
        <w:gridCol w:w="3219"/>
      </w:tblGrid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 11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правилах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местах занятий по физическому воспитанию. Совершенствование навыков обычной ходьбы с изменением длины, частоты шагов. Упражнения на релаксацию и на формирование правильной осанки.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спортивной ходьбы. Высокий старт. Игровые упражнения на внимание.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обычной ходьбы с изменением длины, частоты шагов. Высокий старт. Упражнения на релаксацию -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«Сделай фигуру».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древности». Эстафетный бег. Подвижные игры «Собери флажки», «День, ночь»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 30 м. Подвижные игры «Разведчики и часовые».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прыжка в длину с разбега (разбег, отталкивание). Метание малого мяча с места. Подвижная игра «Попади в мяч».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лёгкоатлетических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здоровье. Обучение прыжка в длину с разбега (полёт, приземление). Метание малого мяча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ризонтальную цель. Подвижная игра «Кто дальше бросит мяч».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малого мяча. Закрепление прыжка в длину с разбега.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разбега. Метание малого мяча. «Физическая культура в современном обществе».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гигиенических знаний о требованиях к одежде на занятиях в различных условиях. Кроссовый бег.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 Тестирование  кроссовый бег 1000м.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представлений учащихся о правилах гигиены одежды школьника в разные времена года. Строевые упражнения. Висы.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Висы. Перестроение дроблением и сведением. Подвижная игра «Светофор».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прыжки в длину с места. Висы.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Перестроения.  «Всестороннее и гармоническое развитие». Подвижная игра «Запрещающее движение».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представлений учащихся о современных средствах физического воспитания. Висы. Подтягивание в висе. Перестроение. Эстафета «верёвочка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ногами». Развитие силовых способностей.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висы. Перестроение. Подвижная игра «Прыжок за прыжком».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подтягивание на перекладине. Развитие силовых способностей. Игра «Будь внимательным».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учащихся о требованиях к ведению дневника самоконтроля. Обучение опорный прыжок «ноги врозь». Разучивание комплекса ОРУ с гимнастическими палками.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Закрепление опорный прыжок «ноги врозь».  Подвижная игра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ыжки по полоскам».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выполнение комплекса упражнений с гимнастическими палками. Опорный прыжок «ноги врозь».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 туловища вперёд. Опорный прыжок. Подвижная игра «Удочка». 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Опорный прыжок «ноги врозь».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силовых способностей.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Опорный прыжок «ноги врозь». Развитие силовых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учащихся о самоконтроле в процессе физического воспитания.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Акробатика - повторение элементов из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класса. Кувырки вперёд и назад. Строевой шаг. Подвижная игра  «Два лагеря».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поднимание туловища за 30 сек. Группировка. Кувырки вперёд и назад. Строевой шаг. Повороты. Развитие координационных способностей (упражнения со скакалкой)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Повороты. Кувырки и стойка на лопатках. Подвижная игра « Бездомный заяц».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строевая подготовка. Составление акробатического комплекса упражнений – кувырки и стойка на лопатках. 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акробатического комплекса упражнений – кувырки и стойка на лопатках.  Эстафеты с обручем.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«Краткая характеристика видов, входящих в программу Олимпийских игр». Зачёт связки акробатических элементов. Развитие координационных способностей.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баскетбол   18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«Краткая характеристика баскетбола». Стойка и передвижения игрока.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Подводящие игры.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«Терминология баскетбола». Передвижение игрока. Ведение мяча на месте с разной высотой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отскока.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передвижений  игрока. Ловля мяча.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правила игры».  Сочетание способов передвижений. Ловля мяча двумя руками на уровне груди. 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и здоровый образ жизни». Ловля мяча. Ведение мяча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в движении шагом. Прыжки, повороты вперёд, назад.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шагами. Прыжки, повороты вперёд, назад.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Ловля мяча двумя руками от груди (в квадрате). Передача мяча двумя руками от груди. 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 и пагубное влияние на здоровье человека». Ведение мяча с изменением направления движения. Передача мяча двумя руками от груди. 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  и высоты отскока.  Бросок двумя руками снизу в движение.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 рукой с высоким и низким отскоком. Передача мяча двумя руками снизу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движение. Сочетание приёмов без броска.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 в движение. Бросок  одной рукой  от плеча с места.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передача в стену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за 10 сек с 2 м, кол-во раз. Сочетание приёмов с броском по кольцу. Подводящие игры.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 и высоты отскока. Игра на закрепление технических приёмов.</w:t>
            </w:r>
          </w:p>
          <w:p w:rsidR="00F44D82" w:rsidRDefault="00F4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  и высоты отскока.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 с места. Эстафеты на закрепление технических приёмов.</w:t>
            </w:r>
          </w:p>
          <w:p w:rsidR="00F44D82" w:rsidRDefault="00F4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сочетание приёмов: (ведение, остановка, бросок). Учебная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– спортивная подготовка». Отбор мяча - вырывание и выбивание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мяча. Двусторонняя учебная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  18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«Экипировка лыжника». Передвижения на лыжах попеременно двушажным ходом в медленном темпе по дистанции.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ходы –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попеременно двушажный ход. Прохождение дистанции до 1,5 км. Ознакомление со спуском в высокой стойке и подъём «ёлочкой».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спуском в высокой стойке и подъём «ёлочкой».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попеременно двушажный ход. Обучение длител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ьному скольжению на одной лыже скользящим шагом.</w:t>
            </w:r>
          </w:p>
          <w:p w:rsidR="00F44D82" w:rsidRDefault="00F4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с применением изученных лыжных ходов. Эстафета с передачей палок.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оказания помощи при обморожениях и травмах».  Торможение «плугом». Прохождение дистанции до 2 км.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 без палок.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«переступанием», торможение «плугом». Развитие двигательных качеств выносливости и быстроты.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«переступанием», торможение «плугом».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длительному скольжению на одной лыже в коньковом ходе без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алок.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поворот «переступанием», прохождение дистанции до 3 км.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Медленное передвижение по дистанции 3 км. Круговая эстафета с этапом 200м.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«Краткая характеристика видов спорта, входящих в программу Олимпийских игр». Лыжные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гонки 1 км. Игры на лыжах.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 дистанции. Техника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попеременно двушажный ходов Игра «Пройди в ворота», без палок.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техники выполнения подъёма «ёлочкой». Совершенствование 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под уклон с палками.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зимних видов спорта для укрепления здоровья». Сведение коленей и постановка лыж на внутренние рёбра в торможении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подъёма на лыжах способом «полу ёлочкой» и «ёлочкой».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навыка спуска и подъёма на небольшое возвышение. Учить разведению задних концов лыж и спуску в стойке торможения «плугом».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лыжные гонки 2 км. Повторение поворотов, торможения. Игра на дистанции 130м.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«Восстановительные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роприятия».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длительному скольжению на одной лыже в коньковом ходе без палок. Игры с подъёмами и спусками.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длительному скольжению на одной лыже в коньковом ходе без палок.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поворотам на лыжах «упором». Игра «Подними предмет».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двигательных, и координационных качеств посредством подвижных игр на лыжах и без палок. Игры.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волейбол  18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Подвижная игра «Пасовка волейболистов».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Подвижная игра «Пасовка волейболистов».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передвижения игрока в стойке. Эстафеты с элементами волейбола.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вперёд. Передвижения игрока с мячом.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«Допинг. Концепция честного спорта». Встречные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линейные эстафеты с элементами волейбола. Передача мяча двумя руками сверху над собой.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 техники передачи мяча двумя руками сверху над собой.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 над собой, вперёд. Приём мяча снизу.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волейбол. Передача мяча двумя сверху на месте и приём двумя над собой. 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Режим дня, его основное содержание и правила планирования». Передача мяча двумя руками сверху (на месте и после передачи вперед).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собой. Передача вперёд. Эстафеты с элементами волейбола. Игра в мини волейбол.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 в парах. Приём снизу над собой и сетку.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прием мяча снизу двумя руками над собой и на сетку. Учебная игра.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организма. Правила безопасности и гигиенические требования». Нижняя прямая подача. Передача и приём мяча на сетку.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парах. Приём на сетку. Нижняя прямая подача.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 в парах, приём на сетку. Нижняя прямая подача. Мини волейбол.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 нижняя прямая подача (3-6 м). Учебная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D82" w:rsidRDefault="00FC393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 занятий физической культурой на формирование положительных качеств личности». Игра в мини волейбол. Применение изученных  технических приёмов.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 технических приёмов  в мини волейболе.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 10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занятий физической культурой». Старты. Эстафетный бег.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Спринт. Развитие скоростных возможностей. Встречная эстафета.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Спринт. Ускорения. Встречная эстафета.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техники бег 30 м. Эстафеты по кругу.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Зачёт эстафетный бег.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прыжки в высоту способом «Перешагивание».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лёгкоатлетических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системы организма». Обучение прыжки в высоту. Совершенствование  метание малого мяча.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малого мяча. Закрепление техники прыжк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высоту.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 техники прыжка в высоту (способом «перешагивание»). Развитие выносливости.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 Развитие выносливости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бег на 1500 метров. «Закаливание организма».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футбол   9 часов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«Краткая характеристика вида спорта». Овладение техникой передвижений, остановок, поворотов и стоек.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«Основные правила игры». Овладение техникой перемещений, остановок, поворотов и стоек.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без сопротивления. Освоение ударов по мячу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остановок мяча.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tabs>
                <w:tab w:val="left" w:pos="9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мячу. Подвижные игры для освоения передвижения и остановок.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«Оказание первой доврачебной помощи». Овладение техникой ударов по воротам.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«Оказание первой доврачебной помощи». Овладение техникой ударов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воротам.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соревнований». Закрепление техники владения мячом и развитие координационных способностей.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перемещений, владения мячом и развитие координационных способностей.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прикладной физической подготовкой». Освоение тактики игры. Учебная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F44D82">
        <w:tc>
          <w:tcPr>
            <w:tcW w:w="1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  3 часа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Учебная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82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C3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тактики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D82" w:rsidRDefault="00F44D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82" w:rsidRDefault="00F44D82">
      <w:pPr>
        <w:ind w:left="-567"/>
      </w:pPr>
    </w:p>
    <w:sectPr w:rsidR="00F44D82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B55"/>
    <w:multiLevelType w:val="multilevel"/>
    <w:tmpl w:val="C1C41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74C2"/>
    <w:multiLevelType w:val="multilevel"/>
    <w:tmpl w:val="298C24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D82"/>
    <w:rsid w:val="00F44D82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WenQuanYi Zen Hei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21</Pages>
  <Words>4611</Words>
  <Characters>26289</Characters>
  <Application>Microsoft Office Word</Application>
  <DocSecurity>0</DocSecurity>
  <Lines>219</Lines>
  <Paragraphs>61</Paragraphs>
  <ScaleCrop>false</ScaleCrop>
  <Company/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36</cp:revision>
  <dcterms:created xsi:type="dcterms:W3CDTF">2019-06-22T13:23:00Z</dcterms:created>
  <dcterms:modified xsi:type="dcterms:W3CDTF">2019-11-04T16:59:00Z</dcterms:modified>
  <dc:language>ru-RU</dc:language>
</cp:coreProperties>
</file>